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266E78B3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B404BC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311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7B6D67EA" w:rsidR="002B3B13" w:rsidRPr="009C05EA" w:rsidRDefault="00B404BC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B404BC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การเขียนภาษาจีน </w:t>
            </w:r>
            <w:r w:rsidRPr="00B404BC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57E6FE34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(2-2-5)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70FB04FF" w:rsidR="002B3B13" w:rsidRPr="009C05EA" w:rsidRDefault="00B404BC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B404BC">
              <w:rPr>
                <w:rFonts w:ascii="Angsana New" w:hAnsi="Angsana New"/>
                <w:color w:val="000000"/>
                <w:sz w:val="32"/>
                <w:szCs w:val="32"/>
              </w:rPr>
              <w:t>(Chinese Writing I)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512B729F" w:rsidR="002B3B13" w:rsidRPr="009C05EA" w:rsidRDefault="00B404BC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4BC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 xml:space="preserve">CHN </w:t>
            </w:r>
            <w:r w:rsidRPr="00B404BC">
              <w:rPr>
                <w:rFonts w:asciiTheme="majorBidi" w:eastAsia="Angsana New" w:hAnsiTheme="majorBidi"/>
                <w:color w:val="000000"/>
                <w:sz w:val="32"/>
                <w:szCs w:val="32"/>
                <w:cs/>
                <w:lang w:bidi="th-TH"/>
              </w:rPr>
              <w:t xml:space="preserve">212 </w:t>
            </w:r>
            <w:r w:rsidRPr="00B404BC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Foundation Mandarin IV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3C5BB37A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363AE2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4313D90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01,02</w:t>
            </w:r>
            <w:r w:rsidR="00B404BC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,03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2E0317FC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7C9E0F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B7F8" id="Rectangle 9" o:spid="_x0000_s1026" style="position:absolute;margin-left:-.5pt;margin-top:6.1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NDnuaX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02E9C7C8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6C57E4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7679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7A4A5621" w:rsidR="000122A5" w:rsidRPr="00AC43BF" w:rsidRDefault="00B404BC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Dr.Haochang  Li           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11552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49790067" w:rsidR="00811552" w:rsidRPr="00AC43BF" w:rsidRDefault="00B404BC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Dr.Haochang  Li           </w:t>
            </w:r>
          </w:p>
        </w:tc>
        <w:tc>
          <w:tcPr>
            <w:tcW w:w="425" w:type="dxa"/>
          </w:tcPr>
          <w:p w14:paraId="4FA7D15C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9C79" id="Rectangle 2" o:spid="_x0000_s1026" style="position:absolute;margin-left:.4pt;margin-top:6.3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811552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EE83A" id="Rectangle 1" o:spid="_x0000_s1026" style="position:absolute;margin-left:.1pt;margin-top:29.9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11552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83375" id="Rectangle 16" o:spid="_x0000_s1026" style="position:absolute;margin-left:.3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7D184" id="Rectangle 17" o:spid="_x0000_s1026" style="position:absolute;margin-left:-.75pt;margin-top:5.3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11552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15EF290B" w:rsidR="00811552" w:rsidRPr="009C05EA" w:rsidRDefault="00363AE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811552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811552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3536A662" w:rsidR="006B5C9B" w:rsidRPr="00C6321F" w:rsidRDefault="00DC2C0A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92.59</w:t>
            </w:r>
          </w:p>
        </w:tc>
        <w:tc>
          <w:tcPr>
            <w:tcW w:w="1134" w:type="dxa"/>
          </w:tcPr>
          <w:p w14:paraId="4B845DD3" w14:textId="1FEA4D0E" w:rsidR="006B5C9B" w:rsidRPr="00C6321F" w:rsidRDefault="00DC2C0A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4.62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AEC8EA2" w14:textId="0FD29D73" w:rsidR="00DC2C0A" w:rsidRPr="00DC2C0A" w:rsidRDefault="00DC2C0A" w:rsidP="00DC2C0A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DC2C0A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00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10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8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00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1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08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92.59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92.59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/100)*5=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4.629</w:t>
      </w:r>
      <w:r w:rsidRPr="00DC2C0A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DC2C0A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79F1D04B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B1CB3C4" w14:textId="77777777" w:rsidR="00F511B3" w:rsidRPr="00F511B3" w:rsidRDefault="00F511B3" w:rsidP="00F511B3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18DBE3A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7308AF97" w14:textId="46B8BC8E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B40E62" w14:paraId="31BF7984" w14:textId="77777777" w:rsidTr="005F1F97">
        <w:tc>
          <w:tcPr>
            <w:tcW w:w="817" w:type="dxa"/>
          </w:tcPr>
          <w:p w14:paraId="5BE81E56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F511B3" w:rsidRPr="00797848" w:rsidRDefault="00F511B3" w:rsidP="00F511B3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F511B3" w:rsidRPr="008A3832" w:rsidRDefault="00F511B3" w:rsidP="00F511B3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F511B3" w:rsidRPr="008A3832" w:rsidRDefault="00F511B3" w:rsidP="00F511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F511B3" w:rsidRPr="008A3832" w:rsidRDefault="00F511B3" w:rsidP="00F511B3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75EFF485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2067917C" w14:textId="11849418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4044FD8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0D837226" w14:textId="77777777" w:rsidTr="005F1F97">
        <w:tc>
          <w:tcPr>
            <w:tcW w:w="817" w:type="dxa"/>
          </w:tcPr>
          <w:p w14:paraId="69757095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F511B3" w:rsidRPr="00797848" w:rsidRDefault="00F511B3" w:rsidP="00F511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F511B3" w:rsidRPr="00797848" w:rsidRDefault="00F511B3" w:rsidP="00F511B3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FE7CC4C" w:rsidR="00F511B3" w:rsidRPr="00901363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0EDBFB11" w14:textId="1A9555B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83B7EFD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F511B3" w:rsidRPr="00267E75" w:rsidRDefault="00F511B3" w:rsidP="00F5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331413F6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62284C13" w14:textId="244E8A6D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EFB6A77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F511B3" w:rsidRPr="00721911" w:rsidRDefault="00F511B3" w:rsidP="00F511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F511B3" w:rsidRPr="00721911" w:rsidRDefault="00F511B3" w:rsidP="00F511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F511B3" w:rsidRPr="00721911" w:rsidRDefault="00F511B3" w:rsidP="00F511B3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7AB2DA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49C89C6E" w14:textId="4D2C0693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0260B51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7AE6FD99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B404BC">
        <w:rPr>
          <w:rFonts w:ascii="Angsana New" w:hAnsi="Angsana New"/>
          <w:b/>
          <w:sz w:val="32"/>
          <w:szCs w:val="32"/>
          <w:lang w:val="en-US" w:bidi="th-TH"/>
        </w:rPr>
        <w:t>110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1841B19C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B404BC">
        <w:rPr>
          <w:rFonts w:ascii="Angsana New" w:hAnsi="Angsana New"/>
          <w:b/>
          <w:sz w:val="32"/>
          <w:szCs w:val="32"/>
          <w:lang w:val="en-US" w:bidi="th-TH"/>
        </w:rPr>
        <w:t>108</w:t>
      </w:r>
      <w:r w:rsidR="009C4F42" w:rsidRPr="008F49BF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18B9811D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    </w:t>
      </w:r>
      <w:r w:rsidR="00B404BC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18FD5AD2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</w:t>
      </w:r>
      <w:r w:rsidR="004A5069" w:rsidRPr="008F49BF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9F2B11" w:rsidRPr="008F49BF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B404BC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45DF77D3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6C75D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B404BC">
        <w:rPr>
          <w:rFonts w:ascii="Angsana New" w:hAnsi="Angsana New"/>
          <w:b/>
          <w:sz w:val="32"/>
          <w:szCs w:val="32"/>
          <w:lang w:bidi="th-TH"/>
        </w:rPr>
        <w:t>108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404BC" w:rsidRPr="00B40E62" w14:paraId="69812EE8" w14:textId="77777777" w:rsidTr="00B404BC">
        <w:tc>
          <w:tcPr>
            <w:tcW w:w="2880" w:type="dxa"/>
          </w:tcPr>
          <w:p w14:paraId="01232BBF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0D35FB67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1F4459F4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20.37</w:t>
            </w:r>
          </w:p>
        </w:tc>
      </w:tr>
      <w:tr w:rsidR="00B404BC" w:rsidRPr="00B40E62" w14:paraId="6C43C26A" w14:textId="77777777" w:rsidTr="00B404BC">
        <w:tc>
          <w:tcPr>
            <w:tcW w:w="2880" w:type="dxa"/>
          </w:tcPr>
          <w:p w14:paraId="1BF16F8C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378A4D42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7ABB8F4E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25.00</w:t>
            </w:r>
          </w:p>
        </w:tc>
      </w:tr>
      <w:tr w:rsidR="00B404BC" w:rsidRPr="00B40E62" w14:paraId="697CC8F8" w14:textId="77777777" w:rsidTr="00B404BC">
        <w:tc>
          <w:tcPr>
            <w:tcW w:w="2880" w:type="dxa"/>
          </w:tcPr>
          <w:p w14:paraId="7E865E35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2077E044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79DD664C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24.07</w:t>
            </w:r>
          </w:p>
        </w:tc>
      </w:tr>
      <w:tr w:rsidR="00B404BC" w:rsidRPr="00B40E62" w14:paraId="534677DC" w14:textId="77777777" w:rsidTr="00B404BC">
        <w:tc>
          <w:tcPr>
            <w:tcW w:w="2880" w:type="dxa"/>
          </w:tcPr>
          <w:p w14:paraId="7336C6C1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4EF6E912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5F8AC67C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15.74</w:t>
            </w:r>
          </w:p>
        </w:tc>
      </w:tr>
      <w:tr w:rsidR="00B404BC" w:rsidRPr="00B40E62" w14:paraId="62E6DB8E" w14:textId="77777777" w:rsidTr="00B404BC">
        <w:tc>
          <w:tcPr>
            <w:tcW w:w="2880" w:type="dxa"/>
          </w:tcPr>
          <w:p w14:paraId="517103EB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56B74C98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60E417FA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7.41</w:t>
            </w:r>
          </w:p>
        </w:tc>
      </w:tr>
      <w:tr w:rsidR="00B404BC" w:rsidRPr="00B40E62" w14:paraId="750D88D8" w14:textId="77777777" w:rsidTr="00B404BC">
        <w:tc>
          <w:tcPr>
            <w:tcW w:w="2880" w:type="dxa"/>
          </w:tcPr>
          <w:p w14:paraId="4D81C93A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18FBDA6D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79EC7F30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5.56</w:t>
            </w:r>
          </w:p>
        </w:tc>
      </w:tr>
      <w:tr w:rsidR="00B404BC" w:rsidRPr="00B40E62" w14:paraId="5056B2AD" w14:textId="77777777" w:rsidTr="00B404BC">
        <w:tc>
          <w:tcPr>
            <w:tcW w:w="2880" w:type="dxa"/>
          </w:tcPr>
          <w:p w14:paraId="2347A9D3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06A1246A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3B4D5FE5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1.85</w:t>
            </w:r>
          </w:p>
        </w:tc>
      </w:tr>
      <w:tr w:rsidR="00B404BC" w:rsidRPr="00B40E62" w14:paraId="5AB8FE6E" w14:textId="77777777" w:rsidTr="00B404BC">
        <w:tc>
          <w:tcPr>
            <w:tcW w:w="2880" w:type="dxa"/>
          </w:tcPr>
          <w:p w14:paraId="29117077" w14:textId="77777777" w:rsidR="00B404BC" w:rsidRPr="00B40E62" w:rsidRDefault="00B404BC" w:rsidP="00B40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0D696414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3891650A" w:rsidR="00B404BC" w:rsidRPr="00B404BC" w:rsidRDefault="00B404BC" w:rsidP="00B404B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45F05DF1" w:rsidR="00F66236" w:rsidRPr="00634DEE" w:rsidRDefault="00B404BC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108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11552" w:rsidRPr="00B40E62" w14:paraId="62DD6380" w14:textId="77777777" w:rsidTr="00262B5B">
        <w:tc>
          <w:tcPr>
            <w:tcW w:w="3609" w:type="dxa"/>
          </w:tcPr>
          <w:p w14:paraId="74033B24" w14:textId="65B5ED37" w:rsidR="00811552" w:rsidRPr="00566CE1" w:rsidRDefault="00000000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811552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70FF207B" w:rsidR="00811552" w:rsidRPr="00566CE1" w:rsidRDefault="00811552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ก่อนเปิดภาคการศึกษาใหม่ </w:t>
            </w:r>
            <w:r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363AE2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2897CE98" w14:textId="2AAA6C5E" w:rsidR="00811552" w:rsidRPr="00566CE1" w:rsidRDefault="00B404BC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Dr.Haochang  Li           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79888144" w:rsidR="00A16D07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B404BC" w:rsidRPr="00B404BC">
        <w:rPr>
          <w:rFonts w:asciiTheme="majorBidi" w:hAnsiTheme="majorBidi"/>
          <w:sz w:val="32"/>
          <w:szCs w:val="32"/>
          <w:lang w:bidi="th-TH"/>
        </w:rPr>
        <w:t xml:space="preserve">Dr.Haochang  Li      </w:t>
      </w:r>
      <w:r w:rsidR="00B404BC">
        <w:rPr>
          <w:rFonts w:asciiTheme="majorBidi" w:hAnsiTheme="majorBidi"/>
          <w:sz w:val="32"/>
          <w:szCs w:val="32"/>
          <w:lang w:bidi="th-TH"/>
        </w:rPr>
        <w:t>…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5FF2909D" w:rsidR="0069123E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r w:rsidR="00B404BC" w:rsidRPr="00B404BC">
        <w:rPr>
          <w:rFonts w:asciiTheme="majorBidi" w:hAnsiTheme="majorBidi"/>
          <w:sz w:val="32"/>
          <w:szCs w:val="32"/>
          <w:lang w:bidi="th-TH"/>
        </w:rPr>
        <w:t xml:space="preserve">Dr.Haochang  Li    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21744D19" w:rsidR="00A16D07" w:rsidRDefault="00811552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4CC8" w14:textId="77777777" w:rsidR="00E453B6" w:rsidRDefault="00E453B6">
      <w:r>
        <w:separator/>
      </w:r>
    </w:p>
  </w:endnote>
  <w:endnote w:type="continuationSeparator" w:id="0">
    <w:p w14:paraId="2FB27DDA" w14:textId="77777777" w:rsidR="00E453B6" w:rsidRDefault="00E4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AB67" w14:textId="77777777" w:rsidR="00E453B6" w:rsidRDefault="00E453B6">
      <w:r>
        <w:separator/>
      </w:r>
    </w:p>
  </w:footnote>
  <w:footnote w:type="continuationSeparator" w:id="0">
    <w:p w14:paraId="5D7D82D2" w14:textId="77777777" w:rsidR="00E453B6" w:rsidRDefault="00E4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22A5"/>
    <w:rsid w:val="00021732"/>
    <w:rsid w:val="000220CF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4AD6"/>
    <w:rsid w:val="002A6D50"/>
    <w:rsid w:val="002A6DF6"/>
    <w:rsid w:val="002B102D"/>
    <w:rsid w:val="002B3260"/>
    <w:rsid w:val="002B37CE"/>
    <w:rsid w:val="002B3B13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10CD"/>
    <w:rsid w:val="00347AF4"/>
    <w:rsid w:val="003542ED"/>
    <w:rsid w:val="003629BC"/>
    <w:rsid w:val="00363AE2"/>
    <w:rsid w:val="00375174"/>
    <w:rsid w:val="00381014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1127"/>
    <w:rsid w:val="00436FEA"/>
    <w:rsid w:val="00442078"/>
    <w:rsid w:val="004420DF"/>
    <w:rsid w:val="004427DC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17DB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8195E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2679"/>
    <w:rsid w:val="007A45FB"/>
    <w:rsid w:val="007A65E2"/>
    <w:rsid w:val="007A6F9E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1552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0690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8F49BF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02F8E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0945"/>
    <w:rsid w:val="00AA257D"/>
    <w:rsid w:val="00AA468D"/>
    <w:rsid w:val="00AA611F"/>
    <w:rsid w:val="00AB0060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4B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088E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E74D1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C2C0A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453B6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2F5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152B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5</cp:revision>
  <cp:lastPrinted>2009-03-20T08:25:00Z</cp:lastPrinted>
  <dcterms:created xsi:type="dcterms:W3CDTF">2025-01-06T14:04:00Z</dcterms:created>
  <dcterms:modified xsi:type="dcterms:W3CDTF">2026-01-08T06:27:00Z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